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2DA2ECF">
      <w:pPr>
        <w:spacing w:line="540" w:lineRule="exact"/>
        <w:jc w:val="left"/>
        <w:rPr>
          <w:rFonts w:ascii="仿宋" w:hAnsi="仿宋" w:eastAsia="仿宋" w:cs="宋体"/>
          <w:kern w:val="0"/>
          <w:sz w:val="32"/>
          <w:szCs w:val="32"/>
        </w:rPr>
      </w:pPr>
      <w:bookmarkStart w:id="0" w:name="_GoBack"/>
      <w:bookmarkEnd w:id="0"/>
      <w:r>
        <w:rPr>
          <w:rFonts w:hint="eastAsia" w:ascii="仿宋" w:hAnsi="仿宋" w:eastAsia="仿宋" w:cs="宋体"/>
          <w:kern w:val="0"/>
          <w:sz w:val="32"/>
          <w:szCs w:val="32"/>
        </w:rPr>
        <w:t>附件2：</w:t>
      </w:r>
    </w:p>
    <w:p w14:paraId="601C3273">
      <w:pPr>
        <w:spacing w:line="540" w:lineRule="exact"/>
        <w:jc w:val="center"/>
        <w:rPr>
          <w:rFonts w:ascii="华文中宋" w:hAnsi="华文中宋" w:eastAsia="华文中宋" w:cs="宋体"/>
          <w:b/>
          <w:kern w:val="0"/>
          <w:sz w:val="52"/>
          <w:szCs w:val="52"/>
        </w:rPr>
      </w:pPr>
    </w:p>
    <w:p w14:paraId="08734944">
      <w:pPr>
        <w:spacing w:line="540" w:lineRule="exact"/>
        <w:jc w:val="center"/>
        <w:rPr>
          <w:rFonts w:ascii="华文中宋" w:hAnsi="华文中宋" w:eastAsia="华文中宋" w:cs="宋体"/>
          <w:b/>
          <w:kern w:val="0"/>
          <w:sz w:val="52"/>
          <w:szCs w:val="52"/>
        </w:rPr>
      </w:pPr>
    </w:p>
    <w:p w14:paraId="32872C91">
      <w:pPr>
        <w:spacing w:line="540" w:lineRule="exact"/>
        <w:jc w:val="center"/>
        <w:rPr>
          <w:rFonts w:ascii="华文中宋" w:hAnsi="华文中宋" w:eastAsia="华文中宋" w:cs="宋体"/>
          <w:b/>
          <w:kern w:val="0"/>
          <w:sz w:val="52"/>
          <w:szCs w:val="52"/>
        </w:rPr>
      </w:pPr>
    </w:p>
    <w:p w14:paraId="00022E5E">
      <w:pPr>
        <w:spacing w:line="540" w:lineRule="exact"/>
        <w:jc w:val="center"/>
        <w:rPr>
          <w:rFonts w:ascii="华文中宋" w:hAnsi="华文中宋" w:eastAsia="华文中宋" w:cs="宋体"/>
          <w:b/>
          <w:kern w:val="0"/>
          <w:sz w:val="52"/>
          <w:szCs w:val="52"/>
        </w:rPr>
      </w:pPr>
    </w:p>
    <w:p w14:paraId="48FC2BA4">
      <w:pPr>
        <w:spacing w:line="540" w:lineRule="exact"/>
        <w:jc w:val="center"/>
        <w:rPr>
          <w:rFonts w:ascii="华文中宋" w:hAnsi="华文中宋" w:eastAsia="华文中宋" w:cs="宋体"/>
          <w:b/>
          <w:kern w:val="0"/>
          <w:sz w:val="52"/>
          <w:szCs w:val="52"/>
        </w:rPr>
      </w:pPr>
    </w:p>
    <w:p w14:paraId="222C7302">
      <w:pPr>
        <w:spacing w:line="540" w:lineRule="exact"/>
        <w:jc w:val="center"/>
        <w:rPr>
          <w:rFonts w:ascii="华文中宋" w:hAnsi="华文中宋" w:eastAsia="华文中宋" w:cs="宋体"/>
          <w:b/>
          <w:kern w:val="0"/>
          <w:sz w:val="52"/>
          <w:szCs w:val="52"/>
        </w:rPr>
      </w:pPr>
    </w:p>
    <w:p w14:paraId="7289F7EC">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自治区财政项目支出绩效自评报告</w:t>
      </w:r>
    </w:p>
    <w:p w14:paraId="253F0C38">
      <w:pPr>
        <w:spacing w:line="540" w:lineRule="exact"/>
        <w:jc w:val="center"/>
        <w:rPr>
          <w:rFonts w:ascii="华文中宋" w:hAnsi="华文中宋" w:eastAsia="华文中宋" w:cs="宋体"/>
          <w:b/>
          <w:kern w:val="0"/>
          <w:sz w:val="52"/>
          <w:szCs w:val="52"/>
        </w:rPr>
      </w:pPr>
    </w:p>
    <w:p w14:paraId="7225D5FC">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2022</w:t>
      </w:r>
      <w:r>
        <w:rPr>
          <w:rFonts w:hint="eastAsia" w:hAnsi="宋体" w:eastAsia="仿宋_GB2312" w:cs="宋体"/>
          <w:kern w:val="0"/>
          <w:sz w:val="36"/>
          <w:szCs w:val="36"/>
        </w:rPr>
        <w:t xml:space="preserve">  年度）</w:t>
      </w:r>
    </w:p>
    <w:p w14:paraId="25AE9B9F">
      <w:pPr>
        <w:spacing w:line="540" w:lineRule="exact"/>
        <w:jc w:val="center"/>
        <w:rPr>
          <w:rFonts w:hAnsi="宋体" w:eastAsia="仿宋_GB2312" w:cs="宋体"/>
          <w:kern w:val="0"/>
          <w:sz w:val="30"/>
          <w:szCs w:val="30"/>
        </w:rPr>
      </w:pPr>
    </w:p>
    <w:p w14:paraId="7655A83A">
      <w:pPr>
        <w:spacing w:line="540" w:lineRule="exact"/>
        <w:jc w:val="center"/>
        <w:rPr>
          <w:rFonts w:hAnsi="宋体" w:eastAsia="仿宋_GB2312" w:cs="宋体"/>
          <w:kern w:val="0"/>
          <w:sz w:val="30"/>
          <w:szCs w:val="30"/>
        </w:rPr>
      </w:pPr>
    </w:p>
    <w:p w14:paraId="23EE3EF8">
      <w:pPr>
        <w:spacing w:line="540" w:lineRule="exact"/>
        <w:jc w:val="center"/>
        <w:rPr>
          <w:rFonts w:hAnsi="宋体" w:eastAsia="仿宋_GB2312" w:cs="宋体"/>
          <w:kern w:val="0"/>
          <w:sz w:val="30"/>
          <w:szCs w:val="30"/>
        </w:rPr>
      </w:pPr>
    </w:p>
    <w:p w14:paraId="5152FC4B">
      <w:pPr>
        <w:spacing w:line="540" w:lineRule="exact"/>
        <w:jc w:val="center"/>
        <w:rPr>
          <w:rFonts w:hAnsi="宋体" w:eastAsia="仿宋_GB2312" w:cs="宋体"/>
          <w:kern w:val="0"/>
          <w:sz w:val="30"/>
          <w:szCs w:val="30"/>
        </w:rPr>
      </w:pPr>
    </w:p>
    <w:p w14:paraId="407E1042">
      <w:pPr>
        <w:spacing w:line="540" w:lineRule="exact"/>
        <w:jc w:val="center"/>
        <w:rPr>
          <w:rFonts w:hAnsi="宋体" w:eastAsia="仿宋_GB2312" w:cs="宋体"/>
          <w:kern w:val="0"/>
          <w:sz w:val="30"/>
          <w:szCs w:val="30"/>
        </w:rPr>
      </w:pPr>
    </w:p>
    <w:p w14:paraId="2BAF56DA">
      <w:pPr>
        <w:spacing w:line="540" w:lineRule="exact"/>
        <w:rPr>
          <w:rFonts w:hAnsi="宋体" w:eastAsia="仿宋_GB2312" w:cs="宋体"/>
          <w:kern w:val="0"/>
          <w:sz w:val="30"/>
          <w:szCs w:val="30"/>
        </w:rPr>
      </w:pPr>
    </w:p>
    <w:p w14:paraId="1FEAD620">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14:paraId="2290C8A1">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2022年公共卫生服务（地方公共卫生）-全民健康体检项目</w:t>
      </w:r>
    </w:p>
    <w:p w14:paraId="551E9480">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沙湾市乌兰乌苏镇卫生院</w:t>
      </w:r>
    </w:p>
    <w:p w14:paraId="6E723E8F">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沙湾市乌兰乌苏镇卫生院</w:t>
      </w:r>
    </w:p>
    <w:p w14:paraId="6CF91098">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吴慎忠</w:t>
      </w:r>
    </w:p>
    <w:p w14:paraId="0AF5A34E">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2023年03月31日</w:t>
      </w:r>
    </w:p>
    <w:p w14:paraId="4DBA5689">
      <w:pPr>
        <w:spacing w:line="700" w:lineRule="exact"/>
        <w:ind w:firstLine="708" w:firstLineChars="236"/>
        <w:jc w:val="left"/>
        <w:rPr>
          <w:rFonts w:hAnsi="宋体" w:eastAsia="仿宋_GB2312" w:cs="宋体"/>
          <w:kern w:val="0"/>
          <w:sz w:val="30"/>
          <w:szCs w:val="30"/>
        </w:rPr>
      </w:pPr>
    </w:p>
    <w:p w14:paraId="48BB064A">
      <w:pPr>
        <w:spacing w:line="540" w:lineRule="exact"/>
        <w:rPr>
          <w:rStyle w:val="18"/>
          <w:rFonts w:ascii="黑体" w:hAnsi="黑体" w:eastAsia="黑体"/>
          <w:b w:val="0"/>
          <w:spacing w:val="-4"/>
          <w:sz w:val="32"/>
          <w:szCs w:val="32"/>
        </w:rPr>
      </w:pPr>
    </w:p>
    <w:p w14:paraId="7558420D">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一、项目概况</w:t>
      </w:r>
    </w:p>
    <w:p w14:paraId="0BE37FA2">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（一）项目单位基本情况</w:t>
      </w:r>
    </w:p>
    <w:p w14:paraId="3B82E735">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根据&lt;关于提前下达2022年自治区公共卫生服务（地方公共卫生）补助资金预算的通知&gt;（新财社[2021]312）文件、塔地财社【2022】037号文件精神，现下达你单位2022年自治区公共卫生服务补助50.81万元，用于开展全民健康体检、碘盐价格补贴、鼠疫防控等工作。</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一、按规定专款专用。加强资金管理，加快执行进度，按照政府采购相关规定执行采购，按照&lt;自治区财政资金使用跟踪反馈管理暂行办法&gt;（新财预[2016]113号）规定，及时报送财政资金使用情况反馈单。</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二、为进一步加强绩效目标管理，提高财政资金使用效益在，在组织预算执行中对照项目绩效目标做好绩效监控，确保年度绩效目标如期实现。2、项目基本情况</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乌兰乌苏镇卫生院辖区服务人口数约9721人，21个村卫生室。乡村医生15人，助理级以上8人，其中常住人口数约8100人。2022年预计完成全民健康体检人数7881人公共卫生服务（地方公共卫生）-全民健康体检项目资金主要</w:t>
      </w:r>
      <w:r>
        <w:rPr>
          <w:rStyle w:val="18"/>
          <w:rFonts w:hint="eastAsia" w:ascii="楷体" w:hAnsi="楷体" w:eastAsia="楷体"/>
          <w:spacing w:val="-4"/>
          <w:sz w:val="32"/>
          <w:szCs w:val="32"/>
          <w:lang w:eastAsia="zh-CN"/>
        </w:rPr>
        <w:t>针对</w:t>
      </w:r>
      <w:r>
        <w:rPr>
          <w:rStyle w:val="18"/>
          <w:rFonts w:hint="eastAsia" w:ascii="楷体" w:hAnsi="楷体" w:eastAsia="楷体"/>
          <w:spacing w:val="-4"/>
          <w:sz w:val="32"/>
          <w:szCs w:val="32"/>
        </w:rPr>
        <w:t>全民健康体检工作，宣传普及健康素养知识，切实做到对危害群众健康的各类疾病“早发现、早诊断、早治疗”工作的正常开展</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（1）主要内容及实施情况</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公共卫生服务（地方公共卫生）-全民健康体检项目资金资金投入使用50.81万元，保障了卫生院全民健康体检工作顺利开展。给百姓带来了方便，充分认识了健康管理理念，拥有了健康意识。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（2）资金投入和使用情况</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2022年公共卫生服务（地方公共卫生）-全民健康体检项目资金项目全年预算50.81万元，下达预算50.81万元，截止年末，项目资金到位50.81万元，资金到位率100%，支出50.81万元，项目资金预算执行率100%。</w:t>
      </w:r>
    </w:p>
    <w:p w14:paraId="5A681379">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（二）项目预算</w:t>
      </w:r>
      <w:r>
        <w:rPr>
          <w:rStyle w:val="18"/>
          <w:rFonts w:ascii="楷体" w:hAnsi="楷体" w:eastAsia="楷体"/>
          <w:spacing w:val="-4"/>
          <w:sz w:val="32"/>
          <w:szCs w:val="32"/>
        </w:rPr>
        <w:t>绩效目标</w:t>
      </w:r>
      <w:r>
        <w:rPr>
          <w:rStyle w:val="18"/>
          <w:rFonts w:hint="eastAsia" w:ascii="楷体" w:hAnsi="楷体" w:eastAsia="楷体"/>
          <w:spacing w:val="-4"/>
          <w:sz w:val="32"/>
          <w:szCs w:val="32"/>
        </w:rPr>
        <w:t>设定情况</w:t>
      </w:r>
    </w:p>
    <w:p w14:paraId="0EE9D5DD">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 xml:space="preserve">本项目依据《中共中央 国务院关于全面实施预算绩效管理的意见》（中发〔2018〕34号）等文件要求，结合项目开展情况，按照“谁申请资金，谁编制目标”的原则和规定的方法、程序，科学合理编制。  </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(1)总体目标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切实做到对危害群众健康的各类疾病“早发现、早诊断、早治疗”，结合全民健康体检工作，开展科普教育，做好有针对性的健康知识和健康技能教育，宣传普及健康素养知识，干预不良健康行为，有效防控危害辖区各族群众的常见病和多发病。</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（2）阶段性目标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完成2022年全民健康体检人数5000人，完成居民健康档案电子建档人数4105人，居民健康档案规范化电子建档率达75%，全民健康体检信息系统已开通且按季度录入居民体检信息，信息系统建设率达60%，并有效保障了项目绩效工作的顺利开展。</w:t>
      </w:r>
    </w:p>
    <w:p w14:paraId="5D70EBEA">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二、项目资金使用及管理情况</w:t>
      </w:r>
    </w:p>
    <w:p w14:paraId="3D7D360D">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（一）项目资金安排落实、总投入等情况分析</w:t>
      </w:r>
    </w:p>
    <w:p w14:paraId="54F82C7E">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1.评价目的</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本项工作旨在落实《中共中央 国务院关于全面实施预算绩效管理的意见》（中发〔2018〕34号）文件精神，全面推进预算绩效管理工作，落实预算执行及绩效管理主体责任。具体而言包括以下两点：（1）通过对项目设立的背景、意义、项目内容、项目现状及绩效目标、资金投入、资金管理、组织实施、数量指标、质量指标、时效指标、成本指标和效益指标等进行深入调研和分析，进一步了解财政委托审计费项目实施情况，并考察项目实施过程和效果。（2）通过评价，客观公正反映项目立项科学性、项目管理规范性、项目实施有效性和项目效果，总结项目实施的经验，发现项目实施过程中存在的问题，提出合理化建议，为完善项目管理和相关部门决策提供参考依据，并提高财政资金使用效益。</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2.评价对象和范围</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（1）绩效评价的对象：全民健康体检项目补助资金。 </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（2）绩效评价范围：</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1.项目范围2022年公共卫生服务（地方公共卫生）-全民健康体检项目资金的完成情况、资金投入的运行情况、项目实施后产生的绩效及影响效果。</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2.时间范围：2022年1月1日至2022年12月31日。</w:t>
      </w:r>
    </w:p>
    <w:p w14:paraId="13BE1A28">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（二）项目资金实际使用情况分析</w:t>
      </w:r>
    </w:p>
    <w:p w14:paraId="1D99E3BB">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1.评价原则</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（1）科学规范原则：绩效评价应当严格执行规定的程序，按照科学可行的要求，采用定量与定性分析相结合的方法。</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（2）公正公开原则：绩效评价应当符合真实、客观、公正的要求，依法公开并接受监督。</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（3）分级分类原则：根据评价对象特点分类组织实施。</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（4）绩效相关原则：绩效评价应当针对具体支出及其产出绩效进行，评价结果应当清晰反映支出和产出绩效之间的紧密对应关系。</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根据以上原则，绩效评价应遵循如下要求：</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（1）在数据收集时，采取客观数据，并结合问卷调查结果，以保证各项指标的真实性。</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（2）保证评价结果的真实性、公正性，提高评价报告的公信力。</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（3）绩效评价报告应当简明扼要，除了对绩效评价的过程、结果描述外，还应总结经验，指出问题，并就项目实施过程中所存在的问题提出可操作性改进建议。</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2.评价指标体系</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绩效评价指标体系作为衡量绩效目标实现程度的考核工具，一般遵循以下原则：</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（1）相关性原则：绩效评价指标应当与绩效目标有直接的联系，能够恰当反映目标的实现程度。</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（2）重要性原则：应当优先使用最具评价对象代表性、最能反映评价要求的核心指标。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（3）可比性原则：对同类评价对象要设定共性的绩效评价指标，以便于评价结果可以相互比较。</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（4）系统性原则：绩效评价指标的设置应当将定量指标与定性指标相结合，能系统反映财政支出所产生的社会效益、经济效益和可持续影响等。</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（5）经济性原则：绩效评价指标设计应当通俗易懂、简便易行，数据的获得应当考虑现实条件和可操作性，符合成本效益原则。</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3.评价方法</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《关于印发&lt;项目支出绩效评价管理办法&gt;的通知》（财预〔2020〕10号）文件指出部门评价的方法主要包括成本效益分析法、比较法、因素分析法、最低成本法、公众评判法、标杆管理法等。</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（1）成本效益分析法。是指将投入与产出、效益进行关联性分析的方法。</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（2）比较法。是指将实施情况与绩效目标、历史情况、不同部门和地区同类支出情况进行比较的方法。</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（3）因素分析法。是指综合分析影响绩效目标实现、实施效果的内外部因素的方法。</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（4）最低成本法。是指在绩效目标确定的前提下，成本最小者为优的方法。</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（5）公众评判法。是指通过专家评估、公众问卷及抽样调查等方式进行评判的方法。</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（6）标杆管理法。是指以国内外同行业中较高的绩效水平为标杆进行评判的方法。</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（7）其他评价方法。</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根据情报信息补助资金项项目特点，本次评价主要采用比较法和公众评判法，对项目总预算和明细预算的内容、标准、计划是否经济合理进行深入分析，以考察实际产出和效益是否达到预期。</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4.评价标准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绩效评价标准主要包括计划标准、行业标准、历史标准等，用于对绩效指标完成情况进行比较。</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（1）计划标准。指以预先制定的目标、计划、预算、定额等作为评价标准。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（2）行业标准。指参照国家公布的行业指标数据制定的评价标准。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（3）历史标准。指参照历史数据制定的评价标准，为体现绩效改进的原则，在可实现的条件下应当确定相对较高的评价标准。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在上述评价标准的基础上，本次评价依据以下文件为重要指导和准绳：</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《中共中央国务院关于全面实施预算绩效管理的意见》（中发〔2018〕34号）</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《项目支出绩效评价管理办法》（财预〔2020〕10号）</w:t>
      </w:r>
    </w:p>
    <w:p w14:paraId="0AD693F6">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（三）项目资金管理情况分析</w:t>
      </w:r>
    </w:p>
    <w:p w14:paraId="2EFD4CCB">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评级小组根据项目绩效目标，查阅有关佐证资料，结合现场抽样调查及延伸评价等方式开展此次评价，重点关注和评价项目预算和绩效目标的匹配情况、项目资金的管理和使用情况、项目实施和监督情况（包括但不限于项目立项、制度执行、质量达标、完成时效等）以及项目产生的实际效益等。具体而言，通过前期准备、材料审核分析、现场核查评价、综合分析评价及报告撰写，评价项目实施情况，展现资金使用效益。</w:t>
      </w:r>
    </w:p>
    <w:p w14:paraId="4F7E15E5">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三、项目组织实施情况</w:t>
      </w:r>
    </w:p>
    <w:p w14:paraId="2ACC0202">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（一）项目组织情况分析</w:t>
      </w:r>
    </w:p>
    <w:p w14:paraId="06B6C06C">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结合项目特点，制定符合项目实际的绩效评价指标体系及评分标准，通过数据采集、问卷调查及访谈等形式，对2022年全民健康体检项目补助资金进行客观评价，最终评分结果为：总分为97分，绩效评级为“优秀”。详见附件1。</w:t>
      </w:r>
    </w:p>
    <w:p w14:paraId="4C4CACDF">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（二）项目管理情况分析</w:t>
      </w:r>
    </w:p>
    <w:p w14:paraId="78FA5CDA">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（一）项目决策情况</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1.立项依据充分性</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利用健康体检成果，综合分析，分类施策，采取针对性干预措施，切实做到对危害群众健康的各类疾病“早发现、早诊断、早治疗”，结合全民健康体检工作，开展科普教育，做好有针对性的健康知识和健康技能教育，宣传普及健康素养知识，干预不良健康行为，有效防控危害辖区各族群众的常见病和多发病。提高居民健康保健意识，提升居民健康水平，不断提高各族群众幸福感、获得感，扎实推进医疗惠民工程。</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2022年卫生院严格按照上级要求完成各项工作指标，不拖延不滞后，得到了上级主管部门对此项工作的肯定。同时单位严格按照专项资金管理和使用全民健康体检工作资金，资金管理、会计核算、财务审批制度健全，资金支出程序规范。</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此项指标权重为4分，实际得分4分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2.立项程序规范性</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按照绩效自评工作要求，卫生院成立绩效工作组以黄永宽院长为组长的绩效评价工作小组，对相关的国家法律法规进行了认真学习，掌握政策，根据各项目具体情况制定项目绩效评价实施方案，设计绩效评价指标及满意度指标体系。成员由各项目科室干部及财务人员组成的领导小组，项目科室负责提供数据，财务负责收集整理报送绩效工作。所有项目均有绩效评价领导小组集体决议，</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 标权重为3分，实际得分2分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3.绩效目标合理性</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全民健康体检项目补助资金已绩效目标；其中一级绩效目标3个，二级绩效目标7个，三级绩效指标11个。项目绩效目标结合实际工作内容设立，具有相关性。项目预期产出效益和效果符合正常的业绩水平，达到预期目标。与预算确定的项目投资额或资金量相匹配。</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此项指标权重为2分，实际得分2分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4.绩效指标明确性</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全民健康体检项目补助资项目绩效目标细化为具体的绩效指标，指标设置合理、明确。项目绩效目标清晰、可衡量。</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此项指标权重为2分，实际得分2分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5.预算编制科学性</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2022年全民健康体检补助资项目按照专项资金管理和使用全民健康体检工作资金方案编制预算，经过科学论证。全民健康体检补助项目资金拨付金额50.81万元，与项目内容一致。项目按照2022年全民健康体检补助项目方案编制预算，按照标准编制并支出。项目与工作任务相匹配。</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此项指标权重为3分，实际得分3分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6.资金分配合理性</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2022年全民健康体检补助资项目根据塔地财社【2022】037号文件精神，拨付卫生院2022年自治区公共卫生服务补助50.81万元，用于开展全民健康体，依据充分。项目资金分配额度合理，与乌兰乌苏镇实际相适应。</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此项指标权重为3分，实际得分3分</w:t>
      </w:r>
    </w:p>
    <w:p w14:paraId="435EAA72">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四、项目绩效情况</w:t>
      </w:r>
      <w:r>
        <w:rPr>
          <w:rStyle w:val="18"/>
          <w:rFonts w:hint="eastAsia" w:ascii="黑体" w:hAnsi="黑体" w:eastAsia="黑体"/>
        </w:rPr>
        <w:t xml:space="preserve"> </w:t>
      </w:r>
    </w:p>
    <w:p w14:paraId="2693F214">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（一）项目绩效目标完成情况分析</w:t>
      </w:r>
    </w:p>
    <w:p w14:paraId="57AC4363">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1.资金到位率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 实际到位资金 50.81万元，预算资金50.81万元，资金到位率100%，此项指标权重为5分，实际得分5分.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2.预算执行率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年初预算数50.81 万元，全年预算数50.81万元，全年执行数50.81万元，预算执行率为100%。此项指标权重为5分，实际得分5分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3.资金使用合规性</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资金的使用符合国家财经法规和财务管理制度以及有关专项资金管理办法的规定。同时，资金的拨付有完整的审批程序和手续，符合项目预算批复或合同规定的用途，不存在截留、挤占、挪用、虚列支出等情况。此项指标权重为5分，实际得分5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4.管理制度健全性</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2022年全民健康体检补助资项目已制定了《专项资金管理制度、专项资金专款专用专实施方案》，具有相应的财务和业务管理制度。且制度合法、合规、完整，为项目顺利实施提供重要保障。</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此项指标权重为4分，实际得分3分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5.制度执行有效性</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根据现场调研和资料抽查情况，卫生院严格遵守相关法律法规和相关管理规定，项目调整及支出调整手续完备，整体管理合理有序，项目完成后，及时将会计凭证、支付票据会计账簿装订等相关资料分类归档，制度执行有效。</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此项指标权重为4分，实际得分3分</w:t>
      </w:r>
    </w:p>
    <w:p w14:paraId="184D6B72">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（二）项目绩效目标未完成原因分析</w:t>
      </w:r>
    </w:p>
    <w:p w14:paraId="19890535">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1.产出数量</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实际完成率：数量指标：指标1：2022年全民健康体检人数（人），指标值：≥=5000人，实际完成值：7881人，指标完成率：100 %。此项指标权重为4分，实际得分4分，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指标,2：居民健康档案电子建档人数（人），指标值：≥=4105人，实际完成值：14661人，指标完成率：100%。此项指标权重为4分，实际得分4分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2.产出质量</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质量达标率：质量指标：指标1：  居民健康档案规范电子档案建档率（%） 指标值：≥=75%  ，实际完成值：75% ，指标完成率：100 %；此项指标权重为4分，实际得分4分。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指标2：全民健康体检信息系统建设率（%） 指标值：≥=50%  ，实际完成值：50% ，指标完成率：100 %；此项指标权重为4分，实际得分4分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3.产出时效</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完成及时性：全民健康免费体检完成时限，已在规定的时间（2022年1月1日至2022年12月20日）按期完成；此项指标权重为4分，实际得分4分。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4.产出成本</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成本指标；指标1；支付全民体检试剂耗材款（万元）指标值：≦19万元，实际完成值：19万元，指标完成率：100%；此项指标权重为3分，实际得分3分。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指标2；支付单位全民体检其他交通费用（万元）指标值：≦2万元，实际完成值：2万元，指标完成率：100%；此项指标权重为3分，实际得分3分。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指标3：支付全民体检办公费（万元）指标值：≦29.81万元，实际完成值：29.81万元，指标完成率：100%；此项指标权重为4分，实际得分4分。</w:t>
      </w:r>
    </w:p>
    <w:p w14:paraId="4504E270">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五、其他需要说明的问题</w:t>
      </w:r>
    </w:p>
    <w:p w14:paraId="6D792DA9">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（一）后续工作计划</w:t>
      </w:r>
    </w:p>
    <w:p w14:paraId="06DFF8A6">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项目效益指标由2个二级指标和2个三级指标构成，权重为20分，实际得分20分。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1.项目效益</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（1）实施效益</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社会效益指标：评价指标“提高全民健康水平”，指标值：有效提高，实际完成值：达成年度指标。本项目的实施提升了提高全民健康水平”全民健康体检工作，宣传普及健康素养知识，切实做到对危害群众健康的各类疾病“早发现、早诊断、早治疗”工作的正常开展提高基层卫生服务效率。此项指标权重为10分，实际得分10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可持续影响指标：评价指标“增强居民幸福感”，指标值：有效增强，实际完成值：达成年度指标。保障了卫生院全民健康体检工作顺利开展，给百姓带来了方便，使百姓充分认识了健康管理理念，拥有了健康意识。此项指标权重为10分，实际得分10分</w:t>
      </w:r>
    </w:p>
    <w:p w14:paraId="66DF7748">
      <w:pPr>
        <w:spacing w:line="540" w:lineRule="exact"/>
        <w:ind w:firstLine="567" w:firstLineChars="181"/>
        <w:rPr>
          <w:rFonts w:ascii="楷体" w:hAnsi="楷体" w:eastAsia="楷体"/>
          <w:b/>
          <w:spacing w:val="-4"/>
          <w:sz w:val="32"/>
          <w:szCs w:val="32"/>
        </w:rPr>
      </w:pPr>
    </w:p>
    <w:p w14:paraId="29928055">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（二）主要经验及做法、存在问题和建议</w:t>
      </w:r>
    </w:p>
    <w:p w14:paraId="13DD2B3A">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服务对象满意度指标：评价指标“服务对象满意度（%）”，指标值：≥95%，实际完成值：95%。通过设置问卷调查的方式进行考评评价，共计调查样本总量为40个样本，有效调查问卷40份。其中，统计“群众满意度”的平均值为100%。此项指标权重为10分，实际得分10分。</w:t>
      </w:r>
    </w:p>
    <w:p w14:paraId="11321976">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（三）其他</w:t>
      </w:r>
    </w:p>
    <w:p w14:paraId="04D51713">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本项目预算执行率为100%，指标总体完成率为100%，二者之间的偏差值为0%，小于20%。因此，本项目较好地完成了年度总体目标，财政资金使用效益和效率较高。</w:t>
      </w:r>
    </w:p>
    <w:p w14:paraId="35D1088F">
      <w:pPr>
        <w:spacing w:line="540" w:lineRule="exact"/>
        <w:ind w:firstLine="567" w:firstLineChars="181"/>
        <w:rPr>
          <w:rFonts w:ascii="楷体" w:hAnsi="楷体" w:eastAsia="楷体"/>
          <w:b/>
          <w:spacing w:val="-4"/>
          <w:sz w:val="32"/>
          <w:szCs w:val="32"/>
        </w:rPr>
      </w:pPr>
    </w:p>
    <w:p w14:paraId="64C87212">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六、项目评价工作情况</w:t>
      </w:r>
    </w:p>
    <w:p w14:paraId="5874E1FA">
      <w:pPr>
        <w:ind w:firstLine="624" w:firstLineChars="200"/>
        <w:rPr>
          <w:rFonts w:ascii="仿宋_GB2312" w:eastAsia="仿宋_GB2312"/>
          <w:spacing w:val="-4"/>
          <w:sz w:val="32"/>
          <w:szCs w:val="32"/>
        </w:rPr>
      </w:pPr>
      <w:r>
        <w:rPr>
          <w:rFonts w:hint="eastAsia" w:ascii="仿宋_GB2312" w:eastAsia="仿宋_GB2312"/>
          <w:spacing w:val="-4"/>
          <w:sz w:val="32"/>
          <w:szCs w:val="32"/>
        </w:rPr>
        <w:t>包括评价基础数据收集、资料来源和依据等佐证材料情况，项目现场勘验检查核实等情况</w:t>
      </w:r>
    </w:p>
    <w:p w14:paraId="1F5B353B">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（一）主要经验及做法</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资金要及时足额的拨付给各项目单位，无截留、挪用及改变专项资金的用途等。对项目单位专项资金的使用情况进行跟踪和监督，并定期对执行单位专项资金进行检查，使专项资金充分发挥效应。政法委绩效监控工作计划按照绩效目标设定、绩效责任分解、绩效运行监控、绩效考核评估、绩效整改提升等五个方面实施</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（1）.绩效目标设定。绩效考核指标由业务工作实绩和年度重点工作、履职能力等内容组成。</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(2）.绩效责任分解。根据年度绩效目标，从提升工作绩效入手，分解和细化绩效目标，明确项目绩效目标分管领导、责任科室及责任人。</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（3）、绩效运行监控。根据工作实际，加强绩效指标运行监控，制定措施办法，建立内部监控机制，推进工作目标落实。</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（4）、绩效考核评估。按照单位整体支出绩效监控情况表，开展绩效自我评估和分析。</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（5）、绩效整改提升。对指标考核中反映出的不足之处，进行分析，制定整改措施，以绩效监控促进工作提升。（二）存在的问题及原因分析</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效目标设立需更加明确、细化和量化。在绩效目标设立时对项目了解程度不深，不能有效制定绩效目标。因从提升工作绩效入手，分解和细化绩效目标，明确项目绩效目标分管领导、责任科室及责任人。</w:t>
      </w:r>
    </w:p>
    <w:p w14:paraId="7F832A82">
      <w:pPr>
        <w:ind w:firstLine="624" w:firstLineChars="200"/>
        <w:rPr>
          <w:rFonts w:ascii="仿宋_GB2312" w:eastAsia="仿宋_GB2312"/>
          <w:spacing w:val="-4"/>
          <w:sz w:val="32"/>
          <w:szCs w:val="32"/>
        </w:rPr>
      </w:pPr>
    </w:p>
    <w:p w14:paraId="210140A3">
      <w:pPr>
        <w:spacing w:line="540" w:lineRule="exact"/>
        <w:ind w:firstLine="567"/>
        <w:rPr>
          <w:rStyle w:val="18"/>
          <w:rFonts w:ascii="仿宋" w:hAnsi="仿宋" w:eastAsia="仿宋"/>
          <w:b w:val="0"/>
          <w:spacing w:val="-4"/>
          <w:sz w:val="32"/>
          <w:szCs w:val="32"/>
        </w:rPr>
      </w:pPr>
    </w:p>
    <w:p w14:paraId="705E75E6">
      <w:pPr>
        <w:spacing w:line="540" w:lineRule="exact"/>
        <w:ind w:firstLine="567"/>
        <w:rPr>
          <w:rStyle w:val="18"/>
          <w:rFonts w:ascii="仿宋" w:hAnsi="仿宋" w:eastAsia="仿宋"/>
          <w:b w:val="0"/>
          <w:spacing w:val="-4"/>
          <w:sz w:val="32"/>
          <w:szCs w:val="32"/>
        </w:rPr>
      </w:pPr>
    </w:p>
    <w:p w14:paraId="72B114BC">
      <w:pPr>
        <w:spacing w:line="540" w:lineRule="exact"/>
        <w:ind w:firstLine="567"/>
        <w:rPr>
          <w:rStyle w:val="18"/>
          <w:rFonts w:ascii="仿宋" w:hAnsi="仿宋" w:eastAsia="仿宋"/>
          <w:b w:val="0"/>
          <w:spacing w:val="-4"/>
          <w:sz w:val="32"/>
          <w:szCs w:val="32"/>
        </w:rPr>
      </w:pPr>
    </w:p>
    <w:p w14:paraId="26AE98E2">
      <w:pPr>
        <w:spacing w:line="540" w:lineRule="exact"/>
        <w:ind w:firstLine="567"/>
        <w:rPr>
          <w:rStyle w:val="18"/>
          <w:rFonts w:ascii="仿宋" w:hAnsi="仿宋" w:eastAsia="仿宋"/>
          <w:b w:val="0"/>
          <w:spacing w:val="-4"/>
          <w:sz w:val="32"/>
          <w:szCs w:val="32"/>
        </w:rPr>
      </w:pPr>
    </w:p>
    <w:p w14:paraId="4925B4C8">
      <w:pPr>
        <w:spacing w:line="540" w:lineRule="exact"/>
        <w:ind w:firstLine="567"/>
        <w:rPr>
          <w:rStyle w:val="18"/>
          <w:rFonts w:ascii="仿宋" w:hAnsi="仿宋" w:eastAsia="仿宋"/>
          <w:b w:val="0"/>
          <w:spacing w:val="-4"/>
          <w:sz w:val="32"/>
          <w:szCs w:val="32"/>
        </w:rPr>
      </w:pPr>
    </w:p>
    <w:p w14:paraId="18916DF9">
      <w:pPr>
        <w:spacing w:line="540" w:lineRule="exact"/>
        <w:ind w:firstLine="567"/>
        <w:rPr>
          <w:rStyle w:val="18"/>
          <w:rFonts w:ascii="仿宋" w:hAnsi="仿宋" w:eastAsia="仿宋"/>
          <w:b w:val="0"/>
          <w:spacing w:val="-4"/>
          <w:sz w:val="32"/>
          <w:szCs w:val="32"/>
        </w:rPr>
      </w:pPr>
    </w:p>
    <w:p w14:paraId="2E73D3AE">
      <w:pPr>
        <w:spacing w:line="540" w:lineRule="exact"/>
        <w:ind w:firstLine="567"/>
        <w:rPr>
          <w:rStyle w:val="18"/>
          <w:rFonts w:ascii="仿宋" w:hAnsi="仿宋" w:eastAsia="仿宋"/>
          <w:b w:val="0"/>
          <w:spacing w:val="-4"/>
          <w:sz w:val="32"/>
          <w:szCs w:val="32"/>
        </w:rPr>
      </w:pPr>
    </w:p>
    <w:p w14:paraId="55D1A0D7">
      <w:pPr>
        <w:spacing w:line="540" w:lineRule="exact"/>
        <w:ind w:firstLine="567"/>
        <w:rPr>
          <w:rStyle w:val="18"/>
          <w:rFonts w:ascii="仿宋" w:hAnsi="仿宋" w:eastAsia="仿宋"/>
          <w:b w:val="0"/>
          <w:spacing w:val="-4"/>
          <w:sz w:val="32"/>
          <w:szCs w:val="32"/>
        </w:rPr>
      </w:pPr>
    </w:p>
    <w:p w14:paraId="1DC2621D">
      <w:pPr>
        <w:spacing w:line="540" w:lineRule="exact"/>
        <w:ind w:firstLine="567"/>
        <w:rPr>
          <w:rStyle w:val="18"/>
          <w:rFonts w:ascii="仿宋" w:hAnsi="仿宋" w:eastAsia="仿宋"/>
          <w:b w:val="0"/>
          <w:spacing w:val="-4"/>
          <w:sz w:val="32"/>
          <w:szCs w:val="32"/>
        </w:rPr>
      </w:pPr>
    </w:p>
    <w:p w14:paraId="74E2A0C5">
      <w:pPr>
        <w:spacing w:line="540" w:lineRule="exact"/>
        <w:ind w:firstLine="567"/>
        <w:rPr>
          <w:rStyle w:val="18"/>
          <w:rFonts w:ascii="仿宋" w:hAnsi="仿宋" w:eastAsia="仿宋"/>
          <w:b w:val="0"/>
          <w:spacing w:val="-4"/>
          <w:sz w:val="32"/>
          <w:szCs w:val="32"/>
        </w:rPr>
      </w:pPr>
    </w:p>
    <w:p w14:paraId="1693E273">
      <w:pPr>
        <w:spacing w:line="540" w:lineRule="exact"/>
        <w:ind w:firstLine="567"/>
        <w:rPr>
          <w:rStyle w:val="18"/>
          <w:rFonts w:ascii="仿宋" w:hAnsi="仿宋" w:eastAsia="仿宋"/>
          <w:b w:val="0"/>
          <w:spacing w:val="-4"/>
          <w:sz w:val="32"/>
          <w:szCs w:val="32"/>
        </w:rPr>
      </w:pPr>
    </w:p>
    <w:p w14:paraId="55D64A24">
      <w:pPr>
        <w:spacing w:line="540" w:lineRule="exact"/>
        <w:ind w:firstLine="567"/>
        <w:rPr>
          <w:rStyle w:val="18"/>
          <w:rFonts w:ascii="仿宋" w:hAnsi="仿宋" w:eastAsia="仿宋"/>
          <w:b w:val="0"/>
          <w:spacing w:val="-4"/>
          <w:sz w:val="32"/>
          <w:szCs w:val="32"/>
        </w:rPr>
      </w:pPr>
    </w:p>
    <w:p w14:paraId="2B259001">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docPartObj>
        <w:docPartGallery w:val="autotext"/>
      </w:docPartObj>
    </w:sdtPr>
    <w:sdtContent>
      <w:p w14:paraId="6FE1EAF1">
        <w:pPr>
          <w:pStyle w:val="12"/>
          <w:jc w:val="center"/>
        </w:pPr>
        <w:r>
          <w:fldChar w:fldCharType="begin"/>
        </w:r>
        <w:r>
          <w:instrText xml:space="preserve">PAGE   \* MERGEFORMAT</w:instrText>
        </w:r>
        <w:r>
          <w:fldChar w:fldCharType="separate"/>
        </w:r>
        <w:r>
          <w:rPr>
            <w:lang w:val="zh-CN"/>
          </w:rPr>
          <w:t>1</w:t>
        </w:r>
        <w:r>
          <w:fldChar w:fldCharType="end"/>
        </w:r>
      </w:p>
    </w:sdtContent>
  </w:sdt>
  <w:p w14:paraId="13363DF2">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g3Nzg3NmU3NGUyZTA1ZDZlNDM0ZjAzMTZhMzZiMmIifQ=="/>
  </w:docVars>
  <w:rsids>
    <w:rsidRoot w:val="00CA6457"/>
    <w:rsid w:val="00056465"/>
    <w:rsid w:val="00102DFF"/>
    <w:rsid w:val="00121AE4"/>
    <w:rsid w:val="00146AAD"/>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33E43E3"/>
    <w:rsid w:val="0AFE3670"/>
    <w:rsid w:val="4D2606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semiHidden/>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uiPriority w:val="10"/>
    <w:rPr>
      <w:rFonts w:asciiTheme="majorHAnsi" w:hAnsiTheme="majorHAnsi" w:eastAsiaTheme="majorEastAsia"/>
      <w:b/>
      <w:bCs/>
      <w:kern w:val="28"/>
      <w:sz w:val="32"/>
      <w:szCs w:val="32"/>
    </w:rPr>
  </w:style>
  <w:style w:type="character" w:customStyle="1" w:styleId="30">
    <w:name w:val="副标题 字符"/>
    <w:basedOn w:val="17"/>
    <w:link w:val="14"/>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uiPriority w:val="99"/>
    <w:rPr>
      <w:rFonts w:ascii="Calibri" w:hAnsi="Calibri" w:eastAsia="宋体"/>
      <w:kern w:val="2"/>
      <w:sz w:val="18"/>
      <w:szCs w:val="18"/>
    </w:rPr>
  </w:style>
  <w:style w:type="character" w:customStyle="1" w:styleId="44">
    <w:name w:val="页脚 字符"/>
    <w:basedOn w:val="17"/>
    <w:link w:val="12"/>
    <w:uiPriority w:val="99"/>
    <w:rPr>
      <w:rFonts w:ascii="Calibri" w:hAnsi="Calibri" w:eastAsia="宋体"/>
      <w:kern w:val="2"/>
      <w:sz w:val="18"/>
      <w:szCs w:val="18"/>
    </w:rPr>
  </w:style>
  <w:style w:type="character" w:customStyle="1" w:styleId="45">
    <w:name w:val="批注框文本 字符"/>
    <w:basedOn w:val="17"/>
    <w:link w:val="11"/>
    <w:semiHidden/>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14</Pages>
  <Words>6291</Words>
  <Characters>6600</Characters>
  <Lines>5</Lines>
  <Paragraphs>1</Paragraphs>
  <TotalTime>85</TotalTime>
  <ScaleCrop>false</ScaleCrop>
  <LinksUpToDate>false</LinksUpToDate>
  <CharactersWithSpaces>6635</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奔跑的菊子</cp:lastModifiedBy>
  <cp:lastPrinted>2018-12-31T10:56:00Z</cp:lastPrinted>
  <dcterms:modified xsi:type="dcterms:W3CDTF">2023-10-31T04:44:26Z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6FC4D54B4E0147749B08008D6BD45B24_12</vt:lpwstr>
  </property>
</Properties>
</file>